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E1" w:rsidRPr="00C35119" w:rsidRDefault="000C0F68" w:rsidP="00B73CE1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C35119">
        <w:rPr>
          <w:b/>
          <w:color w:val="000000"/>
          <w:spacing w:val="1"/>
          <w:sz w:val="28"/>
          <w:szCs w:val="28"/>
        </w:rPr>
        <w:t>Ц</w:t>
      </w:r>
      <w:r w:rsidR="00B73CE1" w:rsidRPr="00C35119">
        <w:rPr>
          <w:b/>
          <w:color w:val="000000"/>
          <w:spacing w:val="1"/>
          <w:sz w:val="28"/>
          <w:szCs w:val="28"/>
        </w:rPr>
        <w:t>иклограмма</w:t>
      </w:r>
      <w:r>
        <w:rPr>
          <w:b/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="00B73CE1" w:rsidRPr="00C35119">
        <w:rPr>
          <w:b/>
          <w:color w:val="000000"/>
          <w:spacing w:val="1"/>
          <w:sz w:val="28"/>
          <w:szCs w:val="28"/>
        </w:rPr>
        <w:t>мониторинга личностных результатов</w:t>
      </w:r>
    </w:p>
    <w:p w:rsidR="00B73CE1" w:rsidRPr="00C35119" w:rsidRDefault="00B73CE1" w:rsidP="00B73CE1">
      <w:pPr>
        <w:shd w:val="clear" w:color="auto" w:fill="FFFFFF"/>
        <w:spacing w:line="276" w:lineRule="auto"/>
        <w:ind w:firstLine="709"/>
        <w:jc w:val="center"/>
        <w:rPr>
          <w:sz w:val="20"/>
          <w:szCs w:val="20"/>
        </w:rPr>
      </w:pPr>
    </w:p>
    <w:tbl>
      <w:tblPr>
        <w:tblW w:w="92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1418"/>
        <w:gridCol w:w="3907"/>
      </w:tblGrid>
      <w:tr w:rsidR="00B73CE1" w:rsidRPr="00B73CE1" w:rsidTr="00601AF8">
        <w:trPr>
          <w:trHeight w:val="39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 xml:space="preserve">Процедура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</w:tr>
      <w:tr w:rsidR="00B73CE1" w:rsidRPr="00B73CE1" w:rsidTr="00601AF8">
        <w:trPr>
          <w:trHeight w:val="31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601AF8">
        <w:trPr>
          <w:trHeight w:val="280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B73CE1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мотивации обучения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B73CE1" w:rsidRPr="00B73CE1" w:rsidTr="00601AF8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B73CE1" w:rsidRPr="00B73CE1" w:rsidTr="00601AF8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601AF8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601AF8">
        <w:trPr>
          <w:trHeight w:val="15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CE1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Оценивание уровня развития самооценки и притязания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Конец октября-начало ноября</w:t>
            </w:r>
          </w:p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B73CE1" w:rsidRPr="00B73CE1" w:rsidTr="00601AF8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Сентябрь-октябрь</w:t>
            </w:r>
          </w:p>
        </w:tc>
      </w:tr>
      <w:tr w:rsidR="00B73CE1" w:rsidRPr="00B73CE1" w:rsidTr="00601AF8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601AF8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601AF8">
        <w:trPr>
          <w:trHeight w:val="81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color w:val="FFFFFF"/>
                <w:sz w:val="28"/>
                <w:szCs w:val="28"/>
              </w:rPr>
            </w:pPr>
            <w:r w:rsidRPr="00B73CE1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 xml:space="preserve">Оценка ценностных ориентаций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Ноябрь-декабрь</w:t>
            </w:r>
          </w:p>
        </w:tc>
      </w:tr>
      <w:tr w:rsidR="00B73CE1" w:rsidRPr="00B73CE1" w:rsidTr="00601AF8">
        <w:trPr>
          <w:trHeight w:val="7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B73CE1">
        <w:trPr>
          <w:trHeight w:val="36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3CE1" w:rsidRPr="00B73CE1" w:rsidTr="001B36BA">
        <w:trPr>
          <w:trHeight w:val="345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ind w:left="34"/>
              <w:contextualSpacing/>
              <w:rPr>
                <w:color w:val="FFFFFF"/>
                <w:sz w:val="28"/>
                <w:szCs w:val="28"/>
              </w:rPr>
            </w:pPr>
            <w:r w:rsidRPr="00B73CE1">
              <w:rPr>
                <w:bCs/>
                <w:color w:val="000000" w:themeColor="text1" w:themeShade="F2"/>
                <w:kern w:val="24"/>
                <w:sz w:val="28"/>
                <w:szCs w:val="28"/>
              </w:rPr>
              <w:t>Оценка профессиональной идентичности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73CE1">
              <w:rPr>
                <w:rFonts w:eastAsia="Calibri"/>
                <w:sz w:val="28"/>
                <w:szCs w:val="28"/>
              </w:rPr>
              <w:t>Апрель-май</w:t>
            </w:r>
          </w:p>
        </w:tc>
      </w:tr>
      <w:tr w:rsidR="00B73CE1" w:rsidRPr="00B73CE1" w:rsidTr="001B36BA">
        <w:trPr>
          <w:trHeight w:val="381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ind w:left="34"/>
              <w:contextualSpacing/>
              <w:rPr>
                <w:bCs/>
                <w:color w:val="000000" w:themeColor="text1" w:themeShade="F2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73CE1" w:rsidRPr="00B73CE1" w:rsidRDefault="00B73CE1" w:rsidP="00601AF8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F06E4" w:rsidRDefault="005F06E4">
      <w:pPr>
        <w:rPr>
          <w:sz w:val="28"/>
          <w:szCs w:val="28"/>
        </w:rPr>
      </w:pPr>
    </w:p>
    <w:p w:rsidR="00C35119" w:rsidRDefault="00C35119" w:rsidP="00C35119">
      <w:pPr>
        <w:rPr>
          <w:b/>
          <w:sz w:val="28"/>
          <w:szCs w:val="28"/>
        </w:rPr>
      </w:pPr>
      <w:r w:rsidRPr="00903491">
        <w:rPr>
          <w:b/>
          <w:sz w:val="28"/>
          <w:szCs w:val="28"/>
        </w:rPr>
        <w:t>Примерная циклограмма проведения диагностических процедур</w:t>
      </w:r>
    </w:p>
    <w:p w:rsidR="00C35119" w:rsidRPr="00C35119" w:rsidRDefault="00C35119" w:rsidP="00C35119">
      <w:pPr>
        <w:rPr>
          <w:b/>
          <w:sz w:val="20"/>
          <w:szCs w:val="20"/>
        </w:rPr>
      </w:pPr>
    </w:p>
    <w:tbl>
      <w:tblPr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709"/>
        <w:gridCol w:w="709"/>
        <w:gridCol w:w="709"/>
        <w:gridCol w:w="708"/>
        <w:gridCol w:w="709"/>
        <w:gridCol w:w="709"/>
        <w:gridCol w:w="749"/>
      </w:tblGrid>
      <w:tr w:rsidR="00C35119" w:rsidRPr="00B51009" w:rsidTr="00C35119">
        <w:trPr>
          <w:trHeight w:val="225"/>
        </w:trPr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Методика</w:t>
            </w:r>
          </w:p>
        </w:tc>
        <w:tc>
          <w:tcPr>
            <w:tcW w:w="5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Класс</w:t>
            </w:r>
          </w:p>
        </w:tc>
      </w:tr>
      <w:tr w:rsidR="00C35119" w:rsidRPr="00B51009" w:rsidTr="00C35119">
        <w:trPr>
          <w:trHeight w:val="308"/>
        </w:trPr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119" w:rsidRPr="00B51009" w:rsidRDefault="00C35119" w:rsidP="00601AF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10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11</w:t>
            </w:r>
          </w:p>
        </w:tc>
      </w:tr>
      <w:tr w:rsidR="00C35119" w:rsidRPr="00B51009" w:rsidTr="00C35119">
        <w:trPr>
          <w:trHeight w:val="844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C35119" w:rsidRDefault="00C35119" w:rsidP="00601AF8">
            <w:r w:rsidRPr="00C35119">
              <w:rPr>
                <w:bCs/>
              </w:rPr>
              <w:t>Методика исследования самооценки и уровня притязаний</w:t>
            </w:r>
          </w:p>
          <w:p w:rsidR="00C35119" w:rsidRPr="00C35119" w:rsidRDefault="00C35119" w:rsidP="00601AF8">
            <w:r w:rsidRPr="00C35119">
              <w:rPr>
                <w:bCs/>
              </w:rPr>
              <w:t xml:space="preserve"> </w:t>
            </w:r>
            <w:proofErr w:type="spellStart"/>
            <w:r w:rsidRPr="00C35119">
              <w:rPr>
                <w:bCs/>
              </w:rPr>
              <w:t>Дембо</w:t>
            </w:r>
            <w:proofErr w:type="spellEnd"/>
            <w:r w:rsidRPr="00C35119">
              <w:rPr>
                <w:bCs/>
              </w:rPr>
              <w:t xml:space="preserve"> – Рубинштейн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</w:tr>
      <w:tr w:rsidR="00C35119" w:rsidRPr="00B51009" w:rsidTr="00C35119">
        <w:trPr>
          <w:trHeight w:val="6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C35119" w:rsidRDefault="00C35119" w:rsidP="00601AF8">
            <w:r w:rsidRPr="00C35119">
              <w:rPr>
                <w:bCs/>
              </w:rPr>
              <w:t xml:space="preserve">Методика изучения мотивации обучения школьников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</w:tr>
      <w:tr w:rsidR="00C35119" w:rsidRPr="00B51009" w:rsidTr="00C35119">
        <w:trPr>
          <w:trHeight w:val="68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C35119" w:rsidRDefault="00C35119" w:rsidP="00601AF8">
            <w:r w:rsidRPr="00C35119">
              <w:rPr>
                <w:bCs/>
              </w:rPr>
              <w:t xml:space="preserve">Методика изучения статусов профессиональной идентичности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</w:tr>
      <w:tr w:rsidR="00C35119" w:rsidRPr="00B51009" w:rsidTr="00C35119">
        <w:trPr>
          <w:trHeight w:val="38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C35119" w:rsidRDefault="00C35119" w:rsidP="00601AF8">
            <w:r w:rsidRPr="00C35119">
              <w:rPr>
                <w:bCs/>
              </w:rPr>
              <w:t>Методика исследования ценностных ориентаций</w:t>
            </w:r>
            <w:r w:rsidRPr="00C35119">
              <w:rPr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119" w:rsidRPr="00B51009" w:rsidRDefault="00C35119" w:rsidP="00601AF8">
            <w:pPr>
              <w:rPr>
                <w:b/>
              </w:rPr>
            </w:pPr>
            <w:r w:rsidRPr="00B51009">
              <w:rPr>
                <w:b/>
                <w:bCs/>
              </w:rPr>
              <w:t>+</w:t>
            </w:r>
          </w:p>
        </w:tc>
      </w:tr>
    </w:tbl>
    <w:p w:rsidR="00C35119" w:rsidRPr="00B51009" w:rsidRDefault="00C35119" w:rsidP="00C35119">
      <w:pPr>
        <w:rPr>
          <w:sz w:val="28"/>
          <w:szCs w:val="28"/>
        </w:rPr>
      </w:pPr>
    </w:p>
    <w:p w:rsidR="00C35119" w:rsidRPr="00B73CE1" w:rsidRDefault="00C35119">
      <w:pPr>
        <w:rPr>
          <w:sz w:val="28"/>
          <w:szCs w:val="28"/>
        </w:rPr>
      </w:pPr>
      <w:r w:rsidRPr="00B51009">
        <w:rPr>
          <w:sz w:val="28"/>
          <w:szCs w:val="28"/>
        </w:rPr>
        <w:t xml:space="preserve">Для оценки ЛР используются бумажные бланки методик, это опросники или анкеты и бланки для ответов учащихся, после заполнения которых педагог вносит ответы детей в электронные формы </w:t>
      </w:r>
      <w:r w:rsidRPr="00B51009">
        <w:rPr>
          <w:sz w:val="28"/>
          <w:szCs w:val="28"/>
          <w:lang w:val="en-US"/>
        </w:rPr>
        <w:t>XL</w:t>
      </w:r>
      <w:r w:rsidRPr="00B51009">
        <w:rPr>
          <w:sz w:val="28"/>
          <w:szCs w:val="28"/>
        </w:rPr>
        <w:t xml:space="preserve"> для автоматизации при обработке результатов. Все методики можно проводить в групповом варианте сразу со всем классом. Электронная форма выдаёт результаты как индивидуально по каждому ученику, так и по классу в целом, что удобно. </w:t>
      </w:r>
    </w:p>
    <w:sectPr w:rsidR="00C35119" w:rsidRPr="00B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E1"/>
    <w:rsid w:val="000C0F68"/>
    <w:rsid w:val="005F06E4"/>
    <w:rsid w:val="00B73CE1"/>
    <w:rsid w:val="00C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507E-A5A9-4D37-B861-C2C90F5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3</cp:revision>
  <cp:lastPrinted>2020-11-12T10:55:00Z</cp:lastPrinted>
  <dcterms:created xsi:type="dcterms:W3CDTF">2020-11-12T10:29:00Z</dcterms:created>
  <dcterms:modified xsi:type="dcterms:W3CDTF">2022-06-14T08:39:00Z</dcterms:modified>
</cp:coreProperties>
</file>